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BF85" w14:textId="77777777" w:rsidR="003C5D4B" w:rsidRPr="00DD7544" w:rsidRDefault="003C5D4B" w:rsidP="00DD7544">
      <w:pPr>
        <w:tabs>
          <w:tab w:val="left" w:pos="708"/>
          <w:tab w:val="left" w:pos="1508"/>
        </w:tabs>
        <w:spacing w:after="120" w:line="240" w:lineRule="auto"/>
        <w:jc w:val="both"/>
        <w:rPr>
          <w:rFonts w:ascii="Cambria" w:hAnsi="Cambria" w:cs="Times New Roman"/>
        </w:rPr>
      </w:pPr>
    </w:p>
    <w:tbl>
      <w:tblPr>
        <w:tblStyle w:val="TabloKlavuzu"/>
        <w:tblW w:w="0" w:type="auto"/>
        <w:tblInd w:w="392" w:type="dxa"/>
        <w:tblLook w:val="04A0" w:firstRow="1" w:lastRow="0" w:firstColumn="1" w:lastColumn="0" w:noHBand="0" w:noVBand="1"/>
      </w:tblPr>
      <w:tblGrid>
        <w:gridCol w:w="2410"/>
        <w:gridCol w:w="2409"/>
        <w:gridCol w:w="2155"/>
        <w:gridCol w:w="2807"/>
      </w:tblGrid>
      <w:tr w:rsidR="0069404C" w:rsidRPr="00DD7544" w14:paraId="5AD56DE1" w14:textId="77777777" w:rsidTr="00DD7544">
        <w:tc>
          <w:tcPr>
            <w:tcW w:w="2410" w:type="dxa"/>
            <w:vMerge w:val="restart"/>
          </w:tcPr>
          <w:p w14:paraId="2262C570" w14:textId="1A0F16DF" w:rsidR="0069404C" w:rsidRPr="00DD7544" w:rsidRDefault="0069404C" w:rsidP="00DD7544">
            <w:pPr>
              <w:tabs>
                <w:tab w:val="left" w:pos="708"/>
                <w:tab w:val="left" w:pos="1508"/>
              </w:tabs>
              <w:spacing w:after="120"/>
              <w:jc w:val="center"/>
              <w:rPr>
                <w:rFonts w:ascii="Cambria" w:hAnsi="Cambria" w:cs="Times New Roman"/>
                <w:b/>
                <w:bCs/>
                <w:color w:val="002060"/>
              </w:rPr>
            </w:pPr>
            <w:r w:rsidRPr="00DD7544">
              <w:rPr>
                <w:rFonts w:ascii="Cambria" w:hAnsi="Cambria" w:cs="Times New Roman"/>
                <w:b/>
                <w:bCs/>
                <w:color w:val="002060"/>
              </w:rPr>
              <w:t>ORGANİZASYON BİLGİLERİ</w:t>
            </w:r>
          </w:p>
        </w:tc>
        <w:tc>
          <w:tcPr>
            <w:tcW w:w="2409" w:type="dxa"/>
          </w:tcPr>
          <w:p w14:paraId="423D0CF0" w14:textId="6259F047" w:rsidR="0069404C" w:rsidRPr="00DD7544" w:rsidRDefault="00DD7544" w:rsidP="00DD7544">
            <w:pPr>
              <w:tabs>
                <w:tab w:val="left" w:pos="708"/>
                <w:tab w:val="left" w:pos="1508"/>
              </w:tabs>
              <w:spacing w:after="120"/>
              <w:jc w:val="center"/>
              <w:rPr>
                <w:rFonts w:ascii="Cambria" w:hAnsi="Cambria" w:cs="Times New Roman"/>
                <w:b/>
                <w:bCs/>
                <w:color w:val="002060"/>
              </w:rPr>
            </w:pPr>
            <w:r w:rsidRPr="00DD7544">
              <w:rPr>
                <w:rFonts w:ascii="Cambria" w:hAnsi="Cambria" w:cs="Times New Roman"/>
                <w:b/>
                <w:bCs/>
                <w:color w:val="002060"/>
              </w:rPr>
              <w:t>Birim Adı</w:t>
            </w:r>
          </w:p>
        </w:tc>
        <w:tc>
          <w:tcPr>
            <w:tcW w:w="2155" w:type="dxa"/>
          </w:tcPr>
          <w:p w14:paraId="3B263651" w14:textId="22D17A6F" w:rsidR="0069404C" w:rsidRPr="00DD7544" w:rsidRDefault="00DD7544" w:rsidP="00DD7544">
            <w:pPr>
              <w:tabs>
                <w:tab w:val="left" w:pos="708"/>
                <w:tab w:val="left" w:pos="1508"/>
              </w:tabs>
              <w:spacing w:after="120"/>
              <w:jc w:val="center"/>
              <w:rPr>
                <w:rFonts w:ascii="Cambria" w:hAnsi="Cambria" w:cs="Times New Roman"/>
                <w:b/>
                <w:bCs/>
                <w:color w:val="002060"/>
              </w:rPr>
            </w:pPr>
            <w:r w:rsidRPr="00DD7544">
              <w:rPr>
                <w:rFonts w:ascii="Cambria" w:hAnsi="Cambria" w:cs="Times New Roman"/>
                <w:b/>
                <w:bCs/>
                <w:color w:val="002060"/>
              </w:rPr>
              <w:t>Personel</w:t>
            </w:r>
          </w:p>
        </w:tc>
        <w:tc>
          <w:tcPr>
            <w:tcW w:w="2807" w:type="dxa"/>
          </w:tcPr>
          <w:p w14:paraId="43FEA72E" w14:textId="551F0D59" w:rsidR="0069404C" w:rsidRPr="00DD7544" w:rsidRDefault="00DD7544" w:rsidP="00DD7544">
            <w:pPr>
              <w:tabs>
                <w:tab w:val="left" w:pos="708"/>
                <w:tab w:val="left" w:pos="1508"/>
              </w:tabs>
              <w:spacing w:after="120"/>
              <w:jc w:val="center"/>
              <w:rPr>
                <w:rFonts w:ascii="Cambria" w:hAnsi="Cambria" w:cs="Times New Roman"/>
                <w:b/>
                <w:bCs/>
                <w:color w:val="002060"/>
              </w:rPr>
            </w:pPr>
            <w:r w:rsidRPr="00DD7544">
              <w:rPr>
                <w:rFonts w:ascii="Cambria" w:hAnsi="Cambria" w:cs="Times New Roman"/>
                <w:b/>
                <w:bCs/>
                <w:color w:val="002060"/>
              </w:rPr>
              <w:t>Üst Yönetici(ler)</w:t>
            </w:r>
          </w:p>
        </w:tc>
      </w:tr>
      <w:tr w:rsidR="0069404C" w:rsidRPr="00DD7544" w14:paraId="5C82841E" w14:textId="77777777" w:rsidTr="00DD7544">
        <w:tc>
          <w:tcPr>
            <w:tcW w:w="2410" w:type="dxa"/>
            <w:vMerge/>
          </w:tcPr>
          <w:p w14:paraId="48E5342B" w14:textId="77777777" w:rsidR="0069404C" w:rsidRPr="00DD7544" w:rsidRDefault="0069404C" w:rsidP="00DD7544">
            <w:pPr>
              <w:tabs>
                <w:tab w:val="left" w:pos="708"/>
                <w:tab w:val="left" w:pos="1508"/>
              </w:tabs>
              <w:spacing w:after="120"/>
              <w:jc w:val="center"/>
              <w:rPr>
                <w:rFonts w:ascii="Cambria" w:hAnsi="Cambria" w:cs="Times New Roman"/>
              </w:rPr>
            </w:pPr>
          </w:p>
        </w:tc>
        <w:tc>
          <w:tcPr>
            <w:tcW w:w="2409" w:type="dxa"/>
          </w:tcPr>
          <w:p w14:paraId="1C0F30E3" w14:textId="2AC82AF0" w:rsidR="0069404C" w:rsidRPr="00DD7544" w:rsidRDefault="00DD7544" w:rsidP="00DD7544">
            <w:pPr>
              <w:tabs>
                <w:tab w:val="left" w:pos="708"/>
                <w:tab w:val="left" w:pos="1508"/>
              </w:tabs>
              <w:spacing w:after="120"/>
              <w:jc w:val="center"/>
              <w:rPr>
                <w:rFonts w:ascii="Cambria" w:hAnsi="Cambria" w:cs="Times New Roman"/>
              </w:rPr>
            </w:pPr>
            <w:r w:rsidRPr="00DD7544">
              <w:rPr>
                <w:rFonts w:ascii="Cambria" w:hAnsi="Cambria" w:cs="Times New Roman"/>
              </w:rPr>
              <w:t>Dekanlık</w:t>
            </w:r>
          </w:p>
        </w:tc>
        <w:tc>
          <w:tcPr>
            <w:tcW w:w="2155" w:type="dxa"/>
          </w:tcPr>
          <w:p w14:paraId="0DD33116" w14:textId="6E1A8F4D" w:rsidR="0069404C" w:rsidRPr="00DD7544" w:rsidRDefault="00DD7544" w:rsidP="00DD7544">
            <w:pPr>
              <w:tabs>
                <w:tab w:val="left" w:pos="708"/>
                <w:tab w:val="left" w:pos="1508"/>
              </w:tabs>
              <w:spacing w:after="120"/>
              <w:jc w:val="center"/>
              <w:rPr>
                <w:rFonts w:ascii="Cambria" w:hAnsi="Cambria" w:cs="Times New Roman"/>
              </w:rPr>
            </w:pPr>
            <w:r w:rsidRPr="00DD7544">
              <w:rPr>
                <w:rFonts w:ascii="Cambria" w:hAnsi="Cambria" w:cs="Times New Roman"/>
              </w:rPr>
              <w:t>Dekan</w:t>
            </w:r>
          </w:p>
        </w:tc>
        <w:tc>
          <w:tcPr>
            <w:tcW w:w="2807" w:type="dxa"/>
          </w:tcPr>
          <w:p w14:paraId="7A0ECA71" w14:textId="1F22682E" w:rsidR="0069404C" w:rsidRPr="00DD7544" w:rsidRDefault="00DD7544" w:rsidP="00DD7544">
            <w:pPr>
              <w:tabs>
                <w:tab w:val="left" w:pos="708"/>
                <w:tab w:val="left" w:pos="1508"/>
              </w:tabs>
              <w:spacing w:after="120"/>
              <w:jc w:val="center"/>
              <w:rPr>
                <w:rFonts w:ascii="Cambria" w:hAnsi="Cambria" w:cs="Times New Roman"/>
              </w:rPr>
            </w:pPr>
            <w:r w:rsidRPr="00DD7544">
              <w:rPr>
                <w:rFonts w:ascii="Cambria" w:hAnsi="Cambria" w:cs="Times New Roman"/>
              </w:rPr>
              <w:t>Rektör/Y</w:t>
            </w:r>
            <w:r w:rsidR="008E2FD2">
              <w:rPr>
                <w:rFonts w:ascii="Cambria" w:hAnsi="Cambria" w:cs="Times New Roman"/>
              </w:rPr>
              <w:t>ÖK</w:t>
            </w:r>
            <w:r w:rsidRPr="00DD7544">
              <w:rPr>
                <w:rFonts w:ascii="Cambria" w:hAnsi="Cambria" w:cs="Times New Roman"/>
              </w:rPr>
              <w:t xml:space="preserve"> Başkanı</w:t>
            </w:r>
          </w:p>
        </w:tc>
      </w:tr>
    </w:tbl>
    <w:p w14:paraId="12E6E74E" w14:textId="77777777" w:rsidR="0069404C" w:rsidRPr="00DD7544" w:rsidRDefault="0069404C" w:rsidP="00DD7544">
      <w:pPr>
        <w:tabs>
          <w:tab w:val="left" w:pos="708"/>
          <w:tab w:val="left" w:pos="1508"/>
        </w:tabs>
        <w:spacing w:after="120" w:line="240" w:lineRule="auto"/>
        <w:jc w:val="both"/>
        <w:rPr>
          <w:rFonts w:ascii="Cambria" w:hAnsi="Cambria" w:cs="Times New Roman"/>
        </w:rPr>
      </w:pPr>
    </w:p>
    <w:p w14:paraId="10754E4B" w14:textId="50E14ED3" w:rsidR="00DD7544" w:rsidRPr="00DD7544" w:rsidRDefault="00DD7544" w:rsidP="00DD7544">
      <w:pPr>
        <w:pStyle w:val="NormalWeb"/>
        <w:spacing w:after="0" w:afterAutospacing="0" w:line="276" w:lineRule="auto"/>
        <w:jc w:val="both"/>
        <w:rPr>
          <w:rFonts w:ascii="Cambria" w:hAnsi="Cambria"/>
          <w:sz w:val="22"/>
          <w:szCs w:val="22"/>
        </w:rPr>
      </w:pPr>
      <w:r w:rsidRPr="00DD7544">
        <w:rPr>
          <w:rFonts w:ascii="Cambria" w:hAnsi="Cambria"/>
          <w:sz w:val="22"/>
          <w:szCs w:val="22"/>
        </w:rPr>
        <w:t xml:space="preserve">         2547 Sayılı</w:t>
      </w:r>
      <w:r w:rsidR="008E2FD2">
        <w:rPr>
          <w:rFonts w:ascii="Cambria" w:hAnsi="Cambria"/>
          <w:sz w:val="22"/>
          <w:szCs w:val="22"/>
        </w:rPr>
        <w:t xml:space="preserve"> </w:t>
      </w:r>
      <w:r w:rsidRPr="00DD7544">
        <w:rPr>
          <w:rFonts w:ascii="Cambria" w:hAnsi="Cambria"/>
          <w:sz w:val="22"/>
          <w:szCs w:val="22"/>
        </w:rPr>
        <w:t xml:space="preserve">Kanunun 16’ıncı maddesinde belirtilen hususlara ilaveten Dekan’ın görev, yetki ve sorumlulukları şunlardır: </w:t>
      </w:r>
    </w:p>
    <w:p w14:paraId="7F494811" w14:textId="46239BE9"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 xml:space="preserve">Fakülte kurullarına başkanlık etmek, fakülte kurullarının kararlarını uygulamak ve fakülte birimleri arasında düzenli çalışmayı sağlamak. </w:t>
      </w:r>
    </w:p>
    <w:p w14:paraId="395EB68D" w14:textId="0766739C"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 xml:space="preserve">Her öğretim yılı sonunda ve istendiğinde fakültenin genel durumu ve işleyişi hakkında rektöre rapor vermek. </w:t>
      </w:r>
    </w:p>
    <w:p w14:paraId="018E1B2A" w14:textId="7C98D4C2"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 xml:space="preserve">Fakültenin ödenek ve kadro ihtiyaçlarını gerekçesi ile birlikte rektörlüğe bildirmek, fakülte bütçesi ile ilgili öneriyi fakülte yönetim kurulunun da görüşünü aldıktan sonra rektörlüğe sunmak. </w:t>
      </w:r>
    </w:p>
    <w:p w14:paraId="43B4C8DD" w14:textId="779B8A3A"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 xml:space="preserve">Fakültenin birimleri ve her düzeydeki personeli üzerinde genel gözetim ve denetim görevini yapmak. </w:t>
      </w:r>
    </w:p>
    <w:p w14:paraId="098A9F61" w14:textId="0C704238"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 xml:space="preserve">Fakültenin misyon ve vizyonunu belirlemek; bunu tüm çalışanları ile paylaşmak, gerçekleşmesi için çalışanları motive etmek. </w:t>
      </w:r>
    </w:p>
    <w:p w14:paraId="26110A0E" w14:textId="4FE752EA"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 xml:space="preserve">İdarî ve akademik birimlerdeki süreçlerin, kanun ve yönetmeliklere uygun olarak etkili ve verimli bir şekilde yürütülmesini sağlamak. </w:t>
      </w:r>
    </w:p>
    <w:p w14:paraId="76BB8F4D" w14:textId="4C70F70C"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 xml:space="preserve">Fakültenin eğitim-öğretim sistemiyle ilgili sorunlarını tespit etmek, çözüme kavuşturmak, gerektiğinde üst makamlara iletmek. </w:t>
      </w:r>
    </w:p>
    <w:p w14:paraId="14758379" w14:textId="057FB3E3"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 xml:space="preserve">Fakültenin stratejik planının hazırlanmasını sağlamak. </w:t>
      </w:r>
    </w:p>
    <w:p w14:paraId="51AB9067" w14:textId="47CC9B3F"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 xml:space="preserve">Fakültedeki hizmetlerin etkili ve verimli bir şekilde yürütülmesi, verilerin bilimsel dayanaklara oturtulması ve Yönetime sağlıklı bilgi akışının gerçekleştirilmesi amacıyla gerekli görülen hâllerde komisyonlar oluşturmak. </w:t>
      </w:r>
    </w:p>
    <w:p w14:paraId="5FD2AF2C" w14:textId="4D35EA9E"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 xml:space="preserve">Fakültenin fizikî donanımı ile insan kaynaklarının etkili ve verimli olarak kullanılmasını sağlamak. </w:t>
      </w:r>
    </w:p>
    <w:p w14:paraId="0BA1BC7E" w14:textId="77777777"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Çağdaş gelişmeleri takip ederek, belirlenen misyon ve vizyona uygun olarak bunları Fakültedeki süreçlere yansıtmak.</w:t>
      </w:r>
    </w:p>
    <w:p w14:paraId="7AF722A5" w14:textId="77777777"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 xml:space="preserve">Fakültede kalite bilincinin oluşturulup yaygınlaştırılmasını sağlamak; ayrıca, kalite güvencesini sağlayarak gerekli uygulamaları gerçekleştirmek. </w:t>
      </w:r>
    </w:p>
    <w:p w14:paraId="6CB4118D" w14:textId="77777777"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Fakültenin eğitim-öğretim, bilimsel araştırma ve yayın etkinliklerinin çağdaş bir anlayışla Fakültenin misyon ve vizyonuna uygun olarak yürütülmesini sağlamak.</w:t>
      </w:r>
    </w:p>
    <w:p w14:paraId="56ACB72A" w14:textId="77777777"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Fakültenin ihtiyaçları doğrultusunda diğer kurum ve kuruluşlarla bağlantı kurarak kaynak sağlama yönünde çaba göstermek.</w:t>
      </w:r>
    </w:p>
    <w:p w14:paraId="07CAAA2A" w14:textId="77777777"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Fakülte değerlendirme ve kalite geliştirme çalışmalarının düzenli bir biçimde yürütülmesini sağlamak.</w:t>
      </w:r>
    </w:p>
    <w:p w14:paraId="2CE7D371" w14:textId="54A75643"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Fakültenin tüm idarî ve akademik personeli ile öğrencilerinin her türlü sosyal, kültürel ve bilimsel etkinliklere katılımlarını sağlayarak üretici bir duruma gelmeleri için çalışmak. Böylece bir liderlik anlayışıyla Fakültede takım çalışması ruhunu geliştirmek.</w:t>
      </w:r>
    </w:p>
    <w:p w14:paraId="2642B37C" w14:textId="77777777"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Fakültenin akademik ve idari personeli için ihtiyaç duyulan alanlarda kurs, seminer ve konferans gibi etkinlikler düzenleyerek Fakültenin sürekli öğrenen bir organizasyon haline gelmesi için çalışmak.</w:t>
      </w:r>
    </w:p>
    <w:p w14:paraId="36191631" w14:textId="77777777"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Eğitim-öğretim ve araştırmalarla ilgili politikalar ve stratejiler geliştirmek.</w:t>
      </w:r>
    </w:p>
    <w:p w14:paraId="0774C5DF" w14:textId="77777777"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Fakültede eğitim-öğretimin düzenli bir şekilde sürdürülmesini sağlamak.</w:t>
      </w:r>
    </w:p>
    <w:p w14:paraId="29103143" w14:textId="77777777"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Taşınırların etkili, ekonomik, verimli ve hukuka uygun olarak edinilmesini ve kullanılmasını; kontrollerinin yapılmasını, taşınır kayıt ve kontrol yetkilisi vasıtasıyla kayıtlarının saydam bir şekilde tutulmasını ve hazırlanan Yönetim Hesabının verilmesini sağlamak.</w:t>
      </w:r>
    </w:p>
    <w:p w14:paraId="610C27AB" w14:textId="77777777"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Bütçeyle ödenek tahsis edilen her bir harcama biriminin en üst yöneticisi olarak harcama yetkisini elinde bulundurmak.</w:t>
      </w:r>
    </w:p>
    <w:p w14:paraId="5B605B57" w14:textId="77777777"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lastRenderedPageBreak/>
        <w:t>Harcama Yetkilisi olarak harcama talimatlarının bütçe ilke ve esaslarına, kanun tüzük ve yönetmelikler ile diğer mevzuata uygun olmasından, ödeneklerin etkili, ekonomik ve verimli kullanılmasından ve bu kanun çerçevesinde yapmaları gereken diğer işlemlerden sorumlu olmak.</w:t>
      </w:r>
    </w:p>
    <w:p w14:paraId="089A2769" w14:textId="77777777"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 xml:space="preserve">Bütçede öngörülen ödenekleri kadar ödenek gönderme belgesiyle, ödenek verilen harcama yetkilileri ise tahsis edilen ödenek tutarında harcama yapılması için Gerçekleştirme Görevlisine talimat vermek. </w:t>
      </w:r>
    </w:p>
    <w:p w14:paraId="67F90AD8" w14:textId="77777777"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 xml:space="preserve">Tasarruf ilkelerine uygun hareket etmek. </w:t>
      </w:r>
    </w:p>
    <w:p w14:paraId="140251B9" w14:textId="77777777" w:rsidR="00DD7544" w:rsidRPr="00DD7544" w:rsidRDefault="00DD7544" w:rsidP="00DD7544">
      <w:pPr>
        <w:pStyle w:val="NormalWeb"/>
        <w:numPr>
          <w:ilvl w:val="1"/>
          <w:numId w:val="11"/>
        </w:numPr>
        <w:spacing w:line="276" w:lineRule="auto"/>
        <w:jc w:val="both"/>
        <w:rPr>
          <w:rFonts w:ascii="Cambria" w:hAnsi="Cambria"/>
          <w:sz w:val="22"/>
          <w:szCs w:val="22"/>
        </w:rPr>
      </w:pPr>
      <w:r w:rsidRPr="00DD7544">
        <w:rPr>
          <w:rFonts w:ascii="Cambria" w:hAnsi="Cambria"/>
          <w:sz w:val="22"/>
          <w:szCs w:val="22"/>
        </w:rPr>
        <w:t xml:space="preserve">Fakültenin ve bağlı birimlerinin öğretim kapasitesinin rasyonel bir şekilde kullanılmasında ve geliştirilmesinde gerektiği zaman güvenlik önlemlerinin alınmasında, </w:t>
      </w:r>
    </w:p>
    <w:p w14:paraId="5FD2458C" w14:textId="77777777" w:rsidR="00DD7544" w:rsidRPr="00DD7544" w:rsidRDefault="00DD7544" w:rsidP="00DD7544">
      <w:pPr>
        <w:pStyle w:val="NormalWeb"/>
        <w:numPr>
          <w:ilvl w:val="1"/>
          <w:numId w:val="11"/>
        </w:numPr>
        <w:spacing w:line="276" w:lineRule="auto"/>
        <w:jc w:val="both"/>
        <w:rPr>
          <w:rFonts w:ascii="Cambria" w:hAnsi="Cambria"/>
          <w:sz w:val="22"/>
          <w:szCs w:val="22"/>
        </w:rPr>
      </w:pPr>
      <w:r w:rsidRPr="00DD7544">
        <w:rPr>
          <w:rFonts w:ascii="Cambria" w:hAnsi="Cambria"/>
          <w:sz w:val="22"/>
          <w:szCs w:val="22"/>
        </w:rPr>
        <w:t xml:space="preserve">Öğrencilere gerekli sosyal hizmetlerin sağlanmasında, </w:t>
      </w:r>
    </w:p>
    <w:p w14:paraId="371A87B7" w14:textId="54FF585F" w:rsidR="00DD7544" w:rsidRPr="00DD7544" w:rsidRDefault="00DD7544" w:rsidP="00DD7544">
      <w:pPr>
        <w:pStyle w:val="NormalWeb"/>
        <w:numPr>
          <w:ilvl w:val="1"/>
          <w:numId w:val="11"/>
        </w:numPr>
        <w:spacing w:line="276" w:lineRule="auto"/>
        <w:jc w:val="both"/>
        <w:rPr>
          <w:rFonts w:ascii="Cambria" w:hAnsi="Cambria"/>
          <w:sz w:val="22"/>
          <w:szCs w:val="22"/>
        </w:rPr>
      </w:pPr>
      <w:r w:rsidRPr="00DD7544">
        <w:rPr>
          <w:rFonts w:ascii="Cambria" w:hAnsi="Cambria"/>
          <w:sz w:val="22"/>
          <w:szCs w:val="22"/>
        </w:rPr>
        <w:t xml:space="preserve">Eğitim-öğretim, bilimsel araştırma ve yayını faaliyetlerinin düzenli bir şekilde yürütülmesinde, bütün faaliyetlerin gözetim ve denetiminin yapılmasında, takip ve kontrol edilmesinde ve sonuçlarının alınmasında, </w:t>
      </w:r>
    </w:p>
    <w:p w14:paraId="030B6367" w14:textId="4103795D" w:rsidR="00DD7544" w:rsidRPr="00DD7544" w:rsidRDefault="00DD7544" w:rsidP="00DD7544">
      <w:pPr>
        <w:pStyle w:val="NormalWeb"/>
        <w:numPr>
          <w:ilvl w:val="0"/>
          <w:numId w:val="11"/>
        </w:numPr>
        <w:spacing w:line="276" w:lineRule="auto"/>
        <w:jc w:val="both"/>
        <w:rPr>
          <w:rFonts w:ascii="Cambria" w:hAnsi="Cambria"/>
          <w:sz w:val="22"/>
          <w:szCs w:val="22"/>
        </w:rPr>
      </w:pPr>
      <w:r w:rsidRPr="00DD7544">
        <w:rPr>
          <w:rFonts w:ascii="Cambria" w:hAnsi="Cambria"/>
          <w:sz w:val="22"/>
          <w:szCs w:val="22"/>
        </w:rPr>
        <w:t>Rektöre karşı birinci derecede sorumludur.</w:t>
      </w:r>
    </w:p>
    <w:sectPr w:rsidR="00DD7544" w:rsidRPr="00DD7544" w:rsidSect="00E168E0">
      <w:headerReference w:type="default" r:id="rId7"/>
      <w:footerReference w:type="default" r:id="rId8"/>
      <w:pgSz w:w="11906" w:h="16838" w:code="9"/>
      <w:pgMar w:top="142" w:right="851" w:bottom="0" w:left="851"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8439" w14:textId="77777777" w:rsidR="00E168E0" w:rsidRDefault="00E168E0" w:rsidP="00363228">
      <w:pPr>
        <w:spacing w:after="0" w:line="240" w:lineRule="auto"/>
      </w:pPr>
      <w:r>
        <w:separator/>
      </w:r>
    </w:p>
  </w:endnote>
  <w:endnote w:type="continuationSeparator" w:id="0">
    <w:p w14:paraId="2EC7ABB4" w14:textId="77777777" w:rsidR="00E168E0" w:rsidRDefault="00E168E0" w:rsidP="0036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l‚r –¾’©">
    <w:altName w:val="MS Gothic"/>
    <w:panose1 w:val="020B0604020202020204"/>
    <w:charset w:val="80"/>
    <w:family w:val="roman"/>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6073" w14:textId="77777777" w:rsidR="001661E4" w:rsidRDefault="001661E4" w:rsidP="001661E4">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95EF" w14:textId="77777777" w:rsidR="00E168E0" w:rsidRDefault="00E168E0" w:rsidP="00363228">
      <w:pPr>
        <w:spacing w:after="0" w:line="240" w:lineRule="auto"/>
      </w:pPr>
      <w:r>
        <w:separator/>
      </w:r>
    </w:p>
  </w:footnote>
  <w:footnote w:type="continuationSeparator" w:id="0">
    <w:p w14:paraId="19BDB455" w14:textId="77777777" w:rsidR="00E168E0" w:rsidRDefault="00E168E0" w:rsidP="00363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20DB" w14:textId="77777777" w:rsidR="00B44C68" w:rsidRDefault="00B44C68" w:rsidP="001661E4">
    <w:pPr>
      <w:pStyle w:val="stBilgi"/>
    </w:pPr>
  </w:p>
  <w:p w14:paraId="1281D200" w14:textId="77777777" w:rsidR="008607F7" w:rsidRDefault="008607F7" w:rsidP="001661E4">
    <w:pPr>
      <w:pStyle w:val="stBilgi"/>
    </w:pPr>
  </w:p>
  <w:tbl>
    <w:tblPr>
      <w:tblStyle w:val="TabloKlavuzu"/>
      <w:tblW w:w="9889" w:type="dxa"/>
      <w:tblInd w:w="316" w:type="dxa"/>
      <w:tblLayout w:type="fixed"/>
      <w:tblLook w:val="04A0" w:firstRow="1" w:lastRow="0" w:firstColumn="1" w:lastColumn="0" w:noHBand="0" w:noVBand="1"/>
    </w:tblPr>
    <w:tblGrid>
      <w:gridCol w:w="1526"/>
      <w:gridCol w:w="5354"/>
      <w:gridCol w:w="1559"/>
      <w:gridCol w:w="1450"/>
    </w:tblGrid>
    <w:tr w:rsidR="008607F7" w14:paraId="2BAEB774" w14:textId="77777777" w:rsidTr="0069404C">
      <w:trPr>
        <w:trHeight w:val="189"/>
      </w:trPr>
      <w:tc>
        <w:tcPr>
          <w:tcW w:w="1526" w:type="dxa"/>
          <w:vMerge w:val="restart"/>
        </w:tcPr>
        <w:p w14:paraId="5AC11ECF" w14:textId="77777777" w:rsidR="008607F7" w:rsidRDefault="008607F7" w:rsidP="008607F7">
          <w:pPr>
            <w:pStyle w:val="stBilgi"/>
            <w:ind w:left="-115" w:right="-110"/>
            <w:jc w:val="center"/>
          </w:pPr>
          <w:r>
            <w:rPr>
              <w:rFonts w:ascii="Times New Roman"/>
              <w:noProof/>
              <w:sz w:val="20"/>
              <w:lang w:eastAsia="tr-TR"/>
            </w:rPr>
            <w:drawing>
              <wp:inline distT="0" distB="0" distL="0" distR="0" wp14:anchorId="075C17BA" wp14:editId="1661F255">
                <wp:extent cx="716234" cy="716234"/>
                <wp:effectExtent l="0" t="0" r="0" b="0"/>
                <wp:docPr id="1" name="Resim 1"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061" cy="717061"/>
                        </a:xfrm>
                        <a:prstGeom prst="rect">
                          <a:avLst/>
                        </a:prstGeom>
                        <a:noFill/>
                        <a:ln>
                          <a:noFill/>
                        </a:ln>
                      </pic:spPr>
                    </pic:pic>
                  </a:graphicData>
                </a:graphic>
              </wp:inline>
            </w:drawing>
          </w:r>
        </w:p>
      </w:tc>
      <w:tc>
        <w:tcPr>
          <w:tcW w:w="5354" w:type="dxa"/>
          <w:vMerge w:val="restart"/>
          <w:vAlign w:val="center"/>
        </w:tcPr>
        <w:p w14:paraId="3DC7CBEF" w14:textId="2CB0CCC1" w:rsidR="008607F7" w:rsidRPr="00477A66" w:rsidRDefault="00DD7544" w:rsidP="0069404C">
          <w:pPr>
            <w:tabs>
              <w:tab w:val="center" w:pos="4270"/>
            </w:tabs>
            <w:spacing w:before="4"/>
            <w:jc w:val="center"/>
            <w:rPr>
              <w:rFonts w:ascii="Cambria" w:hAnsi="Cambria"/>
              <w:b/>
              <w:color w:val="002060"/>
            </w:rPr>
          </w:pPr>
          <w:r>
            <w:rPr>
              <w:rFonts w:ascii="Cambria" w:hAnsi="Cambria"/>
              <w:b/>
              <w:bCs/>
              <w:color w:val="002060"/>
            </w:rPr>
            <w:t xml:space="preserve">DEKAN </w:t>
          </w:r>
          <w:r w:rsidR="0069404C" w:rsidRPr="0069404C">
            <w:rPr>
              <w:rFonts w:ascii="Cambria" w:hAnsi="Cambria"/>
              <w:b/>
              <w:bCs/>
              <w:color w:val="002060"/>
            </w:rPr>
            <w:t xml:space="preserve">GÖREV TANIMI </w:t>
          </w:r>
        </w:p>
      </w:tc>
      <w:tc>
        <w:tcPr>
          <w:tcW w:w="1559" w:type="dxa"/>
        </w:tcPr>
        <w:p w14:paraId="34E75668" w14:textId="77777777" w:rsidR="008607F7" w:rsidRPr="00477A66" w:rsidRDefault="008607F7" w:rsidP="008607F7">
          <w:pPr>
            <w:pStyle w:val="stBilgi"/>
            <w:ind w:right="-112"/>
            <w:rPr>
              <w:rFonts w:ascii="Cambria" w:hAnsi="Cambria"/>
              <w:color w:val="002060"/>
              <w:sz w:val="16"/>
              <w:szCs w:val="16"/>
            </w:rPr>
          </w:pPr>
          <w:r w:rsidRPr="00477A66">
            <w:rPr>
              <w:rFonts w:ascii="Cambria" w:hAnsi="Cambria"/>
              <w:color w:val="002060"/>
              <w:sz w:val="16"/>
              <w:szCs w:val="16"/>
            </w:rPr>
            <w:t>Doküman No</w:t>
          </w:r>
        </w:p>
      </w:tc>
      <w:tc>
        <w:tcPr>
          <w:tcW w:w="1450" w:type="dxa"/>
        </w:tcPr>
        <w:p w14:paraId="29EAB1AB" w14:textId="6276CE5C" w:rsidR="008607F7" w:rsidRPr="00477A66" w:rsidRDefault="008607F7" w:rsidP="008607F7">
          <w:pPr>
            <w:pStyle w:val="stBilgi"/>
            <w:rPr>
              <w:rFonts w:ascii="Cambria" w:hAnsi="Cambria"/>
              <w:color w:val="002060"/>
              <w:sz w:val="16"/>
              <w:szCs w:val="16"/>
            </w:rPr>
          </w:pPr>
          <w:r w:rsidRPr="00477A66">
            <w:rPr>
              <w:rFonts w:ascii="Cambria" w:hAnsi="Cambria"/>
              <w:color w:val="002060"/>
              <w:sz w:val="16"/>
              <w:szCs w:val="16"/>
            </w:rPr>
            <w:t>SBF-</w:t>
          </w:r>
          <w:r w:rsidR="00DD7544">
            <w:rPr>
              <w:rFonts w:ascii="Cambria" w:hAnsi="Cambria"/>
              <w:color w:val="002060"/>
              <w:sz w:val="16"/>
              <w:szCs w:val="16"/>
            </w:rPr>
            <w:t>GR-01</w:t>
          </w:r>
        </w:p>
      </w:tc>
    </w:tr>
    <w:tr w:rsidR="008607F7" w14:paraId="4ECAB51D" w14:textId="77777777" w:rsidTr="0069404C">
      <w:trPr>
        <w:trHeight w:val="187"/>
      </w:trPr>
      <w:tc>
        <w:tcPr>
          <w:tcW w:w="1526" w:type="dxa"/>
          <w:vMerge/>
        </w:tcPr>
        <w:p w14:paraId="68C097CF" w14:textId="77777777" w:rsidR="008607F7" w:rsidRDefault="008607F7" w:rsidP="008607F7">
          <w:pPr>
            <w:pStyle w:val="stBilgi"/>
            <w:rPr>
              <w:noProof/>
              <w:lang w:eastAsia="tr-TR"/>
            </w:rPr>
          </w:pPr>
        </w:p>
      </w:tc>
      <w:tc>
        <w:tcPr>
          <w:tcW w:w="5354" w:type="dxa"/>
          <w:vMerge/>
          <w:vAlign w:val="center"/>
        </w:tcPr>
        <w:p w14:paraId="3F8CC2A8" w14:textId="77777777" w:rsidR="008607F7" w:rsidRPr="00477A66" w:rsidRDefault="008607F7" w:rsidP="008607F7">
          <w:pPr>
            <w:pStyle w:val="stBilgi"/>
            <w:jc w:val="center"/>
            <w:rPr>
              <w:color w:val="002060"/>
            </w:rPr>
          </w:pPr>
        </w:p>
      </w:tc>
      <w:tc>
        <w:tcPr>
          <w:tcW w:w="1559" w:type="dxa"/>
        </w:tcPr>
        <w:p w14:paraId="1614746F" w14:textId="77777777" w:rsidR="008607F7" w:rsidRPr="00477A66" w:rsidRDefault="008607F7" w:rsidP="008607F7">
          <w:pPr>
            <w:pStyle w:val="stBilgi"/>
            <w:ind w:right="-112"/>
            <w:rPr>
              <w:rFonts w:ascii="Cambria" w:hAnsi="Cambria"/>
              <w:color w:val="002060"/>
              <w:sz w:val="16"/>
              <w:szCs w:val="16"/>
            </w:rPr>
          </w:pPr>
          <w:r w:rsidRPr="00477A66">
            <w:rPr>
              <w:rFonts w:ascii="Cambria" w:hAnsi="Cambria"/>
              <w:color w:val="002060"/>
              <w:sz w:val="16"/>
              <w:szCs w:val="16"/>
            </w:rPr>
            <w:t>Yayın Tarihi</w:t>
          </w:r>
        </w:p>
      </w:tc>
      <w:tc>
        <w:tcPr>
          <w:tcW w:w="1450" w:type="dxa"/>
        </w:tcPr>
        <w:p w14:paraId="29C39227" w14:textId="77777777" w:rsidR="008607F7" w:rsidRPr="00477A66" w:rsidRDefault="008607F7" w:rsidP="008607F7">
          <w:pPr>
            <w:pStyle w:val="stBilgi"/>
            <w:rPr>
              <w:rFonts w:ascii="Cambria" w:hAnsi="Cambria"/>
              <w:color w:val="002060"/>
              <w:sz w:val="16"/>
              <w:szCs w:val="16"/>
            </w:rPr>
          </w:pPr>
          <w:r>
            <w:rPr>
              <w:rFonts w:ascii="Cambria" w:hAnsi="Cambria"/>
              <w:color w:val="002060"/>
              <w:sz w:val="16"/>
              <w:szCs w:val="16"/>
            </w:rPr>
            <w:t>13.04.2023</w:t>
          </w:r>
        </w:p>
      </w:tc>
    </w:tr>
    <w:tr w:rsidR="008607F7" w14:paraId="77B96F76" w14:textId="77777777" w:rsidTr="0069404C">
      <w:trPr>
        <w:trHeight w:val="187"/>
      </w:trPr>
      <w:tc>
        <w:tcPr>
          <w:tcW w:w="1526" w:type="dxa"/>
          <w:vMerge/>
        </w:tcPr>
        <w:p w14:paraId="5192F64C" w14:textId="77777777" w:rsidR="008607F7" w:rsidRDefault="008607F7" w:rsidP="008607F7">
          <w:pPr>
            <w:pStyle w:val="stBilgi"/>
            <w:rPr>
              <w:noProof/>
              <w:lang w:eastAsia="tr-TR"/>
            </w:rPr>
          </w:pPr>
        </w:p>
      </w:tc>
      <w:tc>
        <w:tcPr>
          <w:tcW w:w="5354" w:type="dxa"/>
          <w:vMerge/>
          <w:vAlign w:val="center"/>
        </w:tcPr>
        <w:p w14:paraId="0DFF9682" w14:textId="77777777" w:rsidR="008607F7" w:rsidRPr="00477A66" w:rsidRDefault="008607F7" w:rsidP="008607F7">
          <w:pPr>
            <w:pStyle w:val="stBilgi"/>
            <w:jc w:val="center"/>
            <w:rPr>
              <w:color w:val="002060"/>
            </w:rPr>
          </w:pPr>
        </w:p>
      </w:tc>
      <w:tc>
        <w:tcPr>
          <w:tcW w:w="1559" w:type="dxa"/>
        </w:tcPr>
        <w:p w14:paraId="213DA4FD" w14:textId="77777777" w:rsidR="008607F7" w:rsidRPr="00477A66" w:rsidRDefault="008607F7" w:rsidP="008607F7">
          <w:pPr>
            <w:pStyle w:val="stBilgi"/>
            <w:ind w:right="-112"/>
            <w:rPr>
              <w:rFonts w:ascii="Cambria" w:hAnsi="Cambria"/>
              <w:color w:val="002060"/>
              <w:sz w:val="16"/>
              <w:szCs w:val="16"/>
            </w:rPr>
          </w:pPr>
          <w:r w:rsidRPr="00477A66">
            <w:rPr>
              <w:rFonts w:ascii="Cambria" w:hAnsi="Cambria"/>
              <w:color w:val="002060"/>
              <w:sz w:val="16"/>
              <w:szCs w:val="16"/>
            </w:rPr>
            <w:t>Revizyon Tarihi</w:t>
          </w:r>
        </w:p>
      </w:tc>
      <w:tc>
        <w:tcPr>
          <w:tcW w:w="1450" w:type="dxa"/>
        </w:tcPr>
        <w:p w14:paraId="54EF3462" w14:textId="77777777" w:rsidR="008607F7" w:rsidRPr="00477A66" w:rsidRDefault="008607F7" w:rsidP="008607F7">
          <w:pPr>
            <w:pStyle w:val="stBilgi"/>
            <w:rPr>
              <w:rFonts w:ascii="Cambria" w:hAnsi="Cambria"/>
              <w:color w:val="002060"/>
              <w:sz w:val="16"/>
              <w:szCs w:val="16"/>
            </w:rPr>
          </w:pPr>
          <w:r>
            <w:rPr>
              <w:rFonts w:ascii="Cambria" w:hAnsi="Cambria"/>
              <w:color w:val="002060"/>
              <w:sz w:val="16"/>
              <w:szCs w:val="16"/>
            </w:rPr>
            <w:t>-</w:t>
          </w:r>
        </w:p>
      </w:tc>
    </w:tr>
    <w:tr w:rsidR="008607F7" w14:paraId="1A48A14C" w14:textId="77777777" w:rsidTr="0069404C">
      <w:trPr>
        <w:trHeight w:val="220"/>
      </w:trPr>
      <w:tc>
        <w:tcPr>
          <w:tcW w:w="1526" w:type="dxa"/>
          <w:vMerge/>
        </w:tcPr>
        <w:p w14:paraId="1FF5F63C" w14:textId="77777777" w:rsidR="008607F7" w:rsidRDefault="008607F7" w:rsidP="008607F7">
          <w:pPr>
            <w:pStyle w:val="stBilgi"/>
            <w:rPr>
              <w:noProof/>
              <w:lang w:eastAsia="tr-TR"/>
            </w:rPr>
          </w:pPr>
        </w:p>
      </w:tc>
      <w:tc>
        <w:tcPr>
          <w:tcW w:w="5354" w:type="dxa"/>
          <w:vMerge/>
          <w:vAlign w:val="center"/>
        </w:tcPr>
        <w:p w14:paraId="39F412B8" w14:textId="77777777" w:rsidR="008607F7" w:rsidRPr="00477A66" w:rsidRDefault="008607F7" w:rsidP="008607F7">
          <w:pPr>
            <w:pStyle w:val="stBilgi"/>
            <w:jc w:val="center"/>
            <w:rPr>
              <w:color w:val="002060"/>
            </w:rPr>
          </w:pPr>
        </w:p>
      </w:tc>
      <w:tc>
        <w:tcPr>
          <w:tcW w:w="1559" w:type="dxa"/>
        </w:tcPr>
        <w:p w14:paraId="637EFC27" w14:textId="77777777" w:rsidR="008607F7" w:rsidRPr="00477A66" w:rsidRDefault="008607F7" w:rsidP="008607F7">
          <w:pPr>
            <w:pStyle w:val="stBilgi"/>
            <w:ind w:right="-112"/>
            <w:rPr>
              <w:rFonts w:ascii="Cambria" w:hAnsi="Cambria"/>
              <w:color w:val="002060"/>
              <w:sz w:val="16"/>
              <w:szCs w:val="16"/>
            </w:rPr>
          </w:pPr>
          <w:r w:rsidRPr="00477A66">
            <w:rPr>
              <w:rFonts w:ascii="Cambria" w:hAnsi="Cambria"/>
              <w:color w:val="002060"/>
              <w:sz w:val="16"/>
              <w:szCs w:val="16"/>
            </w:rPr>
            <w:t>Revizyon No</w:t>
          </w:r>
        </w:p>
      </w:tc>
      <w:tc>
        <w:tcPr>
          <w:tcW w:w="1450" w:type="dxa"/>
        </w:tcPr>
        <w:p w14:paraId="199C3FCF" w14:textId="77777777" w:rsidR="008607F7" w:rsidRPr="00477A66" w:rsidRDefault="008607F7" w:rsidP="008607F7">
          <w:pPr>
            <w:pStyle w:val="stBilgi"/>
            <w:rPr>
              <w:rFonts w:ascii="Cambria" w:hAnsi="Cambria"/>
              <w:color w:val="002060"/>
              <w:sz w:val="16"/>
              <w:szCs w:val="16"/>
            </w:rPr>
          </w:pPr>
          <w:r w:rsidRPr="00477A66">
            <w:rPr>
              <w:rFonts w:ascii="Cambria" w:hAnsi="Cambria"/>
              <w:color w:val="002060"/>
              <w:sz w:val="16"/>
              <w:szCs w:val="16"/>
            </w:rPr>
            <w:t>Versiyon 0</w:t>
          </w:r>
        </w:p>
      </w:tc>
    </w:tr>
    <w:tr w:rsidR="008607F7" w14:paraId="7772BA25" w14:textId="77777777" w:rsidTr="0069404C">
      <w:trPr>
        <w:trHeight w:val="220"/>
      </w:trPr>
      <w:tc>
        <w:tcPr>
          <w:tcW w:w="1526" w:type="dxa"/>
          <w:vMerge/>
        </w:tcPr>
        <w:p w14:paraId="6F60A3D1" w14:textId="77777777" w:rsidR="008607F7" w:rsidRDefault="008607F7" w:rsidP="008607F7">
          <w:pPr>
            <w:pStyle w:val="stBilgi"/>
            <w:rPr>
              <w:noProof/>
              <w:lang w:eastAsia="tr-TR"/>
            </w:rPr>
          </w:pPr>
        </w:p>
      </w:tc>
      <w:tc>
        <w:tcPr>
          <w:tcW w:w="5354" w:type="dxa"/>
          <w:vMerge/>
          <w:vAlign w:val="center"/>
        </w:tcPr>
        <w:p w14:paraId="69798681" w14:textId="77777777" w:rsidR="008607F7" w:rsidRPr="00477A66" w:rsidRDefault="008607F7" w:rsidP="008607F7">
          <w:pPr>
            <w:pStyle w:val="stBilgi"/>
            <w:jc w:val="center"/>
            <w:rPr>
              <w:color w:val="002060"/>
            </w:rPr>
          </w:pPr>
        </w:p>
      </w:tc>
      <w:tc>
        <w:tcPr>
          <w:tcW w:w="1559" w:type="dxa"/>
        </w:tcPr>
        <w:p w14:paraId="7629ED2F" w14:textId="77777777" w:rsidR="008607F7" w:rsidRPr="00477A66" w:rsidRDefault="008607F7" w:rsidP="008607F7">
          <w:pPr>
            <w:pStyle w:val="stBilgi"/>
            <w:ind w:right="-112"/>
            <w:rPr>
              <w:rFonts w:ascii="Cambria" w:hAnsi="Cambria"/>
              <w:color w:val="002060"/>
              <w:sz w:val="16"/>
              <w:szCs w:val="16"/>
            </w:rPr>
          </w:pPr>
          <w:r w:rsidRPr="00477A66">
            <w:rPr>
              <w:rFonts w:ascii="Cambria" w:hAnsi="Cambria"/>
              <w:color w:val="002060"/>
              <w:sz w:val="16"/>
              <w:szCs w:val="16"/>
            </w:rPr>
            <w:t xml:space="preserve">Sayfa </w:t>
          </w:r>
        </w:p>
      </w:tc>
      <w:tc>
        <w:tcPr>
          <w:tcW w:w="1450" w:type="dxa"/>
        </w:tcPr>
        <w:p w14:paraId="417D1A9C" w14:textId="77777777" w:rsidR="008607F7" w:rsidRPr="00477A66" w:rsidRDefault="008607F7" w:rsidP="008607F7">
          <w:pPr>
            <w:pStyle w:val="stBilgi"/>
            <w:rPr>
              <w:rFonts w:ascii="Cambria" w:hAnsi="Cambria"/>
              <w:color w:val="002060"/>
              <w:sz w:val="16"/>
              <w:szCs w:val="16"/>
            </w:rPr>
          </w:pPr>
          <w:r w:rsidRPr="00477A66">
            <w:rPr>
              <w:rFonts w:ascii="Cambria" w:hAnsi="Cambria"/>
              <w:b/>
              <w:bCs/>
              <w:color w:val="002060"/>
              <w:sz w:val="16"/>
              <w:szCs w:val="16"/>
            </w:rPr>
            <w:fldChar w:fldCharType="begin"/>
          </w:r>
          <w:r w:rsidRPr="00477A66">
            <w:rPr>
              <w:rFonts w:ascii="Cambria" w:hAnsi="Cambria"/>
              <w:b/>
              <w:bCs/>
              <w:color w:val="002060"/>
              <w:sz w:val="16"/>
              <w:szCs w:val="16"/>
            </w:rPr>
            <w:instrText>PAGE  \* Arabic  \* MERGEFORMAT</w:instrText>
          </w:r>
          <w:r w:rsidRPr="00477A66">
            <w:rPr>
              <w:rFonts w:ascii="Cambria" w:hAnsi="Cambria"/>
              <w:b/>
              <w:bCs/>
              <w:color w:val="002060"/>
              <w:sz w:val="16"/>
              <w:szCs w:val="16"/>
            </w:rPr>
            <w:fldChar w:fldCharType="separate"/>
          </w:r>
          <w:r>
            <w:rPr>
              <w:rFonts w:ascii="Cambria" w:hAnsi="Cambria"/>
              <w:b/>
              <w:bCs/>
              <w:noProof/>
              <w:color w:val="002060"/>
              <w:sz w:val="16"/>
              <w:szCs w:val="16"/>
            </w:rPr>
            <w:t>6</w:t>
          </w:r>
          <w:r w:rsidRPr="00477A66">
            <w:rPr>
              <w:rFonts w:ascii="Cambria" w:hAnsi="Cambria"/>
              <w:b/>
              <w:bCs/>
              <w:color w:val="002060"/>
              <w:sz w:val="16"/>
              <w:szCs w:val="16"/>
            </w:rPr>
            <w:fldChar w:fldCharType="end"/>
          </w:r>
          <w:r w:rsidRPr="00477A66">
            <w:rPr>
              <w:rFonts w:ascii="Cambria" w:hAnsi="Cambria"/>
              <w:color w:val="002060"/>
              <w:sz w:val="16"/>
              <w:szCs w:val="16"/>
            </w:rPr>
            <w:t xml:space="preserve"> / </w:t>
          </w:r>
          <w:r w:rsidRPr="00477A66">
            <w:rPr>
              <w:rFonts w:ascii="‚l‚r –¾’©" w:hAnsi="Times New Roman"/>
              <w:color w:val="002060"/>
              <w:sz w:val="21"/>
              <w:szCs w:val="20"/>
            </w:rPr>
            <w:fldChar w:fldCharType="begin"/>
          </w:r>
          <w:r w:rsidRPr="00477A66">
            <w:rPr>
              <w:color w:val="002060"/>
            </w:rPr>
            <w:instrText>NUMPAGES  \* Arabic  \* MERGEFORMAT</w:instrText>
          </w:r>
          <w:r w:rsidRPr="00477A66">
            <w:rPr>
              <w:rFonts w:ascii="‚l‚r –¾’©" w:hAnsi="Times New Roman"/>
              <w:color w:val="002060"/>
              <w:sz w:val="21"/>
              <w:szCs w:val="20"/>
            </w:rPr>
            <w:fldChar w:fldCharType="separate"/>
          </w:r>
          <w:r w:rsidRPr="00856EEF">
            <w:rPr>
              <w:rFonts w:ascii="Cambria" w:hAnsi="Cambria"/>
              <w:b/>
              <w:bCs/>
              <w:noProof/>
              <w:color w:val="002060"/>
              <w:sz w:val="16"/>
              <w:szCs w:val="16"/>
            </w:rPr>
            <w:t>6</w:t>
          </w:r>
          <w:r w:rsidRPr="00477A66">
            <w:rPr>
              <w:rFonts w:ascii="Cambria" w:hAnsi="Cambria"/>
              <w:b/>
              <w:bCs/>
              <w:noProof/>
              <w:color w:val="002060"/>
              <w:sz w:val="16"/>
              <w:szCs w:val="16"/>
            </w:rPr>
            <w:fldChar w:fldCharType="end"/>
          </w:r>
        </w:p>
      </w:tc>
    </w:tr>
  </w:tbl>
  <w:p w14:paraId="38F644FB" w14:textId="77777777" w:rsidR="008607F7" w:rsidRDefault="008607F7" w:rsidP="001661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790"/>
    <w:multiLevelType w:val="hybridMultilevel"/>
    <w:tmpl w:val="916E8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CF6EA3"/>
    <w:multiLevelType w:val="hybridMultilevel"/>
    <w:tmpl w:val="70B43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3F1084"/>
    <w:multiLevelType w:val="hybridMultilevel"/>
    <w:tmpl w:val="AE6CD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6C1470"/>
    <w:multiLevelType w:val="hybridMultilevel"/>
    <w:tmpl w:val="9AE60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166665"/>
    <w:multiLevelType w:val="hybridMultilevel"/>
    <w:tmpl w:val="0486E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3357B6"/>
    <w:multiLevelType w:val="multilevel"/>
    <w:tmpl w:val="632C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01E75"/>
    <w:multiLevelType w:val="hybridMultilevel"/>
    <w:tmpl w:val="2C227044"/>
    <w:lvl w:ilvl="0" w:tplc="7D5832E6">
      <w:start w:val="1"/>
      <w:numFmt w:val="bullet"/>
      <w:lvlText w:val=""/>
      <w:lvlJc w:val="left"/>
      <w:pPr>
        <w:ind w:hanging="360"/>
      </w:pPr>
      <w:rPr>
        <w:rFonts w:ascii="Symbol" w:eastAsia="Symbol" w:hAnsi="Symbol" w:hint="default"/>
        <w:w w:val="99"/>
        <w:sz w:val="20"/>
        <w:szCs w:val="20"/>
      </w:rPr>
    </w:lvl>
    <w:lvl w:ilvl="1" w:tplc="1A163EEA">
      <w:start w:val="1"/>
      <w:numFmt w:val="bullet"/>
      <w:lvlText w:val="•"/>
      <w:lvlJc w:val="left"/>
      <w:rPr>
        <w:rFonts w:hint="default"/>
      </w:rPr>
    </w:lvl>
    <w:lvl w:ilvl="2" w:tplc="F6A6D02C">
      <w:start w:val="1"/>
      <w:numFmt w:val="bullet"/>
      <w:lvlText w:val="•"/>
      <w:lvlJc w:val="left"/>
      <w:rPr>
        <w:rFonts w:hint="default"/>
      </w:rPr>
    </w:lvl>
    <w:lvl w:ilvl="3" w:tplc="A5880280">
      <w:start w:val="1"/>
      <w:numFmt w:val="bullet"/>
      <w:lvlText w:val="•"/>
      <w:lvlJc w:val="left"/>
      <w:rPr>
        <w:rFonts w:hint="default"/>
      </w:rPr>
    </w:lvl>
    <w:lvl w:ilvl="4" w:tplc="4FCEFEB6">
      <w:start w:val="1"/>
      <w:numFmt w:val="bullet"/>
      <w:lvlText w:val="•"/>
      <w:lvlJc w:val="left"/>
      <w:rPr>
        <w:rFonts w:hint="default"/>
      </w:rPr>
    </w:lvl>
    <w:lvl w:ilvl="5" w:tplc="4D3C75F4">
      <w:start w:val="1"/>
      <w:numFmt w:val="bullet"/>
      <w:lvlText w:val="•"/>
      <w:lvlJc w:val="left"/>
      <w:rPr>
        <w:rFonts w:hint="default"/>
      </w:rPr>
    </w:lvl>
    <w:lvl w:ilvl="6" w:tplc="B4CEBC3A">
      <w:start w:val="1"/>
      <w:numFmt w:val="bullet"/>
      <w:lvlText w:val="•"/>
      <w:lvlJc w:val="left"/>
      <w:rPr>
        <w:rFonts w:hint="default"/>
      </w:rPr>
    </w:lvl>
    <w:lvl w:ilvl="7" w:tplc="99284226">
      <w:start w:val="1"/>
      <w:numFmt w:val="bullet"/>
      <w:lvlText w:val="•"/>
      <w:lvlJc w:val="left"/>
      <w:rPr>
        <w:rFonts w:hint="default"/>
      </w:rPr>
    </w:lvl>
    <w:lvl w:ilvl="8" w:tplc="128A8666">
      <w:start w:val="1"/>
      <w:numFmt w:val="bullet"/>
      <w:lvlText w:val="•"/>
      <w:lvlJc w:val="left"/>
      <w:rPr>
        <w:rFonts w:hint="default"/>
      </w:rPr>
    </w:lvl>
  </w:abstractNum>
  <w:abstractNum w:abstractNumId="7" w15:restartNumberingAfterBreak="0">
    <w:nsid w:val="4B4150CA"/>
    <w:multiLevelType w:val="hybridMultilevel"/>
    <w:tmpl w:val="4A0887BC"/>
    <w:lvl w:ilvl="0" w:tplc="A6D601F2">
      <w:start w:val="1"/>
      <w:numFmt w:val="bullet"/>
      <w:lvlText w:val=""/>
      <w:lvlJc w:val="left"/>
      <w:pPr>
        <w:ind w:hanging="360"/>
      </w:pPr>
      <w:rPr>
        <w:rFonts w:ascii="Symbol" w:eastAsia="Symbol" w:hAnsi="Symbol" w:hint="default"/>
        <w:w w:val="99"/>
        <w:sz w:val="20"/>
        <w:szCs w:val="20"/>
      </w:rPr>
    </w:lvl>
    <w:lvl w:ilvl="1" w:tplc="0054D33C">
      <w:start w:val="2"/>
      <w:numFmt w:val="decimal"/>
      <w:lvlText w:val="%2)"/>
      <w:lvlJc w:val="left"/>
      <w:pPr>
        <w:ind w:hanging="218"/>
      </w:pPr>
      <w:rPr>
        <w:rFonts w:ascii="Times New Roman" w:eastAsia="Times New Roman" w:hAnsi="Times New Roman" w:hint="default"/>
        <w:b/>
        <w:bCs/>
        <w:spacing w:val="1"/>
        <w:w w:val="99"/>
        <w:sz w:val="20"/>
        <w:szCs w:val="20"/>
      </w:rPr>
    </w:lvl>
    <w:lvl w:ilvl="2" w:tplc="2996CCCA">
      <w:start w:val="1"/>
      <w:numFmt w:val="bullet"/>
      <w:lvlText w:val=""/>
      <w:lvlJc w:val="left"/>
      <w:pPr>
        <w:ind w:hanging="360"/>
      </w:pPr>
      <w:rPr>
        <w:rFonts w:ascii="Symbol" w:eastAsia="Symbol" w:hAnsi="Symbol" w:hint="default"/>
        <w:w w:val="99"/>
        <w:sz w:val="20"/>
        <w:szCs w:val="20"/>
      </w:rPr>
    </w:lvl>
    <w:lvl w:ilvl="3" w:tplc="1E228526">
      <w:start w:val="1"/>
      <w:numFmt w:val="bullet"/>
      <w:lvlText w:val="•"/>
      <w:lvlJc w:val="left"/>
      <w:rPr>
        <w:rFonts w:hint="default"/>
      </w:rPr>
    </w:lvl>
    <w:lvl w:ilvl="4" w:tplc="870447E0">
      <w:start w:val="1"/>
      <w:numFmt w:val="bullet"/>
      <w:lvlText w:val="•"/>
      <w:lvlJc w:val="left"/>
      <w:rPr>
        <w:rFonts w:hint="default"/>
      </w:rPr>
    </w:lvl>
    <w:lvl w:ilvl="5" w:tplc="EAE05AFC">
      <w:start w:val="1"/>
      <w:numFmt w:val="bullet"/>
      <w:lvlText w:val="•"/>
      <w:lvlJc w:val="left"/>
      <w:rPr>
        <w:rFonts w:hint="default"/>
      </w:rPr>
    </w:lvl>
    <w:lvl w:ilvl="6" w:tplc="F4B8C790">
      <w:start w:val="1"/>
      <w:numFmt w:val="bullet"/>
      <w:lvlText w:val="•"/>
      <w:lvlJc w:val="left"/>
      <w:rPr>
        <w:rFonts w:hint="default"/>
      </w:rPr>
    </w:lvl>
    <w:lvl w:ilvl="7" w:tplc="7C38FB4A">
      <w:start w:val="1"/>
      <w:numFmt w:val="bullet"/>
      <w:lvlText w:val="•"/>
      <w:lvlJc w:val="left"/>
      <w:rPr>
        <w:rFonts w:hint="default"/>
      </w:rPr>
    </w:lvl>
    <w:lvl w:ilvl="8" w:tplc="0884FA90">
      <w:start w:val="1"/>
      <w:numFmt w:val="bullet"/>
      <w:lvlText w:val="•"/>
      <w:lvlJc w:val="left"/>
      <w:rPr>
        <w:rFonts w:hint="default"/>
      </w:rPr>
    </w:lvl>
  </w:abstractNum>
  <w:abstractNum w:abstractNumId="8" w15:restartNumberingAfterBreak="0">
    <w:nsid w:val="4C7A2C1A"/>
    <w:multiLevelType w:val="multilevel"/>
    <w:tmpl w:val="5C6E5420"/>
    <w:lvl w:ilvl="0">
      <w:start w:val="1"/>
      <w:numFmt w:val="decimal"/>
      <w:lvlText w:val="%1."/>
      <w:lvlJc w:val="left"/>
      <w:pPr>
        <w:tabs>
          <w:tab w:val="num" w:pos="720"/>
        </w:tabs>
        <w:ind w:left="720" w:hanging="360"/>
      </w:pPr>
      <w:rPr>
        <w:sz w:val="22"/>
        <w:szCs w:val="22"/>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AD26C2"/>
    <w:multiLevelType w:val="hybridMultilevel"/>
    <w:tmpl w:val="51660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547F69"/>
    <w:multiLevelType w:val="hybridMultilevel"/>
    <w:tmpl w:val="CBBED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C286155"/>
    <w:multiLevelType w:val="hybridMultilevel"/>
    <w:tmpl w:val="968AA2FA"/>
    <w:lvl w:ilvl="0" w:tplc="C7048B8A">
      <w:start w:val="1"/>
      <w:numFmt w:val="bullet"/>
      <w:lvlText w:val=""/>
      <w:lvlJc w:val="left"/>
      <w:pPr>
        <w:ind w:hanging="360"/>
      </w:pPr>
      <w:rPr>
        <w:rFonts w:ascii="Symbol" w:eastAsia="Symbol" w:hAnsi="Symbol" w:hint="default"/>
        <w:w w:val="99"/>
        <w:sz w:val="20"/>
        <w:szCs w:val="20"/>
      </w:rPr>
    </w:lvl>
    <w:lvl w:ilvl="1" w:tplc="9D32240A">
      <w:start w:val="1"/>
      <w:numFmt w:val="bullet"/>
      <w:lvlText w:val="•"/>
      <w:lvlJc w:val="left"/>
      <w:rPr>
        <w:rFonts w:hint="default"/>
      </w:rPr>
    </w:lvl>
    <w:lvl w:ilvl="2" w:tplc="FAF4F1E6">
      <w:start w:val="1"/>
      <w:numFmt w:val="bullet"/>
      <w:lvlText w:val="•"/>
      <w:lvlJc w:val="left"/>
      <w:rPr>
        <w:rFonts w:hint="default"/>
      </w:rPr>
    </w:lvl>
    <w:lvl w:ilvl="3" w:tplc="8E04DCC4">
      <w:start w:val="1"/>
      <w:numFmt w:val="bullet"/>
      <w:lvlText w:val="•"/>
      <w:lvlJc w:val="left"/>
      <w:rPr>
        <w:rFonts w:hint="default"/>
      </w:rPr>
    </w:lvl>
    <w:lvl w:ilvl="4" w:tplc="F9141A0E">
      <w:start w:val="1"/>
      <w:numFmt w:val="bullet"/>
      <w:lvlText w:val="•"/>
      <w:lvlJc w:val="left"/>
      <w:rPr>
        <w:rFonts w:hint="default"/>
      </w:rPr>
    </w:lvl>
    <w:lvl w:ilvl="5" w:tplc="0D467218">
      <w:start w:val="1"/>
      <w:numFmt w:val="bullet"/>
      <w:lvlText w:val="•"/>
      <w:lvlJc w:val="left"/>
      <w:rPr>
        <w:rFonts w:hint="default"/>
      </w:rPr>
    </w:lvl>
    <w:lvl w:ilvl="6" w:tplc="60A88AB4">
      <w:start w:val="1"/>
      <w:numFmt w:val="bullet"/>
      <w:lvlText w:val="•"/>
      <w:lvlJc w:val="left"/>
      <w:rPr>
        <w:rFonts w:hint="default"/>
      </w:rPr>
    </w:lvl>
    <w:lvl w:ilvl="7" w:tplc="BD18D5BA">
      <w:start w:val="1"/>
      <w:numFmt w:val="bullet"/>
      <w:lvlText w:val="•"/>
      <w:lvlJc w:val="left"/>
      <w:rPr>
        <w:rFonts w:hint="default"/>
      </w:rPr>
    </w:lvl>
    <w:lvl w:ilvl="8" w:tplc="DF86BA5C">
      <w:start w:val="1"/>
      <w:numFmt w:val="bullet"/>
      <w:lvlText w:val="•"/>
      <w:lvlJc w:val="left"/>
      <w:rPr>
        <w:rFonts w:hint="default"/>
      </w:rPr>
    </w:lvl>
  </w:abstractNum>
  <w:num w:numId="1" w16cid:durableId="1299383439">
    <w:abstractNumId w:val="6"/>
  </w:num>
  <w:num w:numId="2" w16cid:durableId="1949462027">
    <w:abstractNumId w:val="7"/>
  </w:num>
  <w:num w:numId="3" w16cid:durableId="1291597202">
    <w:abstractNumId w:val="11"/>
  </w:num>
  <w:num w:numId="4" w16cid:durableId="2000765575">
    <w:abstractNumId w:val="10"/>
  </w:num>
  <w:num w:numId="5" w16cid:durableId="1081292922">
    <w:abstractNumId w:val="3"/>
  </w:num>
  <w:num w:numId="6" w16cid:durableId="1561744113">
    <w:abstractNumId w:val="0"/>
  </w:num>
  <w:num w:numId="7" w16cid:durableId="1431467995">
    <w:abstractNumId w:val="1"/>
  </w:num>
  <w:num w:numId="8" w16cid:durableId="1640067266">
    <w:abstractNumId w:val="9"/>
  </w:num>
  <w:num w:numId="9" w16cid:durableId="203099039">
    <w:abstractNumId w:val="2"/>
  </w:num>
  <w:num w:numId="10" w16cid:durableId="658382046">
    <w:abstractNumId w:val="4"/>
  </w:num>
  <w:num w:numId="11" w16cid:durableId="801071240">
    <w:abstractNumId w:val="8"/>
  </w:num>
  <w:num w:numId="12" w16cid:durableId="1234009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54"/>
    <w:rsid w:val="00052B18"/>
    <w:rsid w:val="00084134"/>
    <w:rsid w:val="000A3307"/>
    <w:rsid w:val="000F593A"/>
    <w:rsid w:val="001128D1"/>
    <w:rsid w:val="0016324D"/>
    <w:rsid w:val="001661E4"/>
    <w:rsid w:val="001F0555"/>
    <w:rsid w:val="00245B7A"/>
    <w:rsid w:val="00265CB3"/>
    <w:rsid w:val="0029497B"/>
    <w:rsid w:val="0029510B"/>
    <w:rsid w:val="00323C35"/>
    <w:rsid w:val="00363228"/>
    <w:rsid w:val="003C5D4B"/>
    <w:rsid w:val="00413CA3"/>
    <w:rsid w:val="00434D85"/>
    <w:rsid w:val="004C3E0E"/>
    <w:rsid w:val="004E1CC6"/>
    <w:rsid w:val="004E2246"/>
    <w:rsid w:val="004F56DE"/>
    <w:rsid w:val="005B1F5E"/>
    <w:rsid w:val="005F36F3"/>
    <w:rsid w:val="005F64FD"/>
    <w:rsid w:val="00601368"/>
    <w:rsid w:val="006738CB"/>
    <w:rsid w:val="0069182A"/>
    <w:rsid w:val="0069404C"/>
    <w:rsid w:val="00694604"/>
    <w:rsid w:val="0069669E"/>
    <w:rsid w:val="007A7447"/>
    <w:rsid w:val="007B12CD"/>
    <w:rsid w:val="007E4402"/>
    <w:rsid w:val="00855939"/>
    <w:rsid w:val="008607F7"/>
    <w:rsid w:val="008A333A"/>
    <w:rsid w:val="008B3921"/>
    <w:rsid w:val="008E2FD2"/>
    <w:rsid w:val="008F03FD"/>
    <w:rsid w:val="008F2EBC"/>
    <w:rsid w:val="009C58FA"/>
    <w:rsid w:val="00A17328"/>
    <w:rsid w:val="00A32EB1"/>
    <w:rsid w:val="00A33796"/>
    <w:rsid w:val="00AC3F4F"/>
    <w:rsid w:val="00AC7D54"/>
    <w:rsid w:val="00B034E1"/>
    <w:rsid w:val="00B42BE3"/>
    <w:rsid w:val="00B44C68"/>
    <w:rsid w:val="00BB00F5"/>
    <w:rsid w:val="00C2042F"/>
    <w:rsid w:val="00C33678"/>
    <w:rsid w:val="00C901B5"/>
    <w:rsid w:val="00C93AC0"/>
    <w:rsid w:val="00CA4ACF"/>
    <w:rsid w:val="00CB1514"/>
    <w:rsid w:val="00D57B54"/>
    <w:rsid w:val="00D62702"/>
    <w:rsid w:val="00DB206C"/>
    <w:rsid w:val="00DC65B1"/>
    <w:rsid w:val="00DD7544"/>
    <w:rsid w:val="00E06967"/>
    <w:rsid w:val="00E168E0"/>
    <w:rsid w:val="00E36ACE"/>
    <w:rsid w:val="00E36E5D"/>
    <w:rsid w:val="00E83934"/>
    <w:rsid w:val="00EF7952"/>
    <w:rsid w:val="00F21734"/>
    <w:rsid w:val="00F23EF0"/>
    <w:rsid w:val="00F521E0"/>
    <w:rsid w:val="00F61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A1956"/>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4F"/>
  </w:style>
  <w:style w:type="paragraph" w:styleId="Balk1">
    <w:name w:val="heading 1"/>
    <w:basedOn w:val="Normal"/>
    <w:link w:val="Balk1Char"/>
    <w:uiPriority w:val="1"/>
    <w:qFormat/>
    <w:rsid w:val="008B3921"/>
    <w:pPr>
      <w:widowControl w:val="0"/>
      <w:spacing w:after="0" w:line="240" w:lineRule="auto"/>
      <w:outlineLvl w:val="0"/>
    </w:pPr>
    <w:rPr>
      <w:rFonts w:ascii="Times New Roman" w:eastAsia="Times New Roman" w:hAnsi="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32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3228"/>
  </w:style>
  <w:style w:type="paragraph" w:styleId="AltBilgi">
    <w:name w:val="footer"/>
    <w:basedOn w:val="Normal"/>
    <w:link w:val="AltBilgiChar"/>
    <w:uiPriority w:val="99"/>
    <w:unhideWhenUsed/>
    <w:rsid w:val="003632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3228"/>
  </w:style>
  <w:style w:type="paragraph" w:styleId="BalonMetni">
    <w:name w:val="Balloon Text"/>
    <w:basedOn w:val="Normal"/>
    <w:link w:val="BalonMetniChar"/>
    <w:uiPriority w:val="99"/>
    <w:semiHidden/>
    <w:unhideWhenUsed/>
    <w:rsid w:val="003632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3228"/>
    <w:rPr>
      <w:rFonts w:ascii="Tahoma" w:hAnsi="Tahoma" w:cs="Tahoma"/>
      <w:sz w:val="16"/>
      <w:szCs w:val="16"/>
    </w:rPr>
  </w:style>
  <w:style w:type="table" w:styleId="TabloKlavuzu">
    <w:name w:val="Table Grid"/>
    <w:basedOn w:val="NormalTablo"/>
    <w:uiPriority w:val="39"/>
    <w:rsid w:val="0036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63228"/>
    <w:pPr>
      <w:widowControl w:val="0"/>
      <w:autoSpaceDE w:val="0"/>
      <w:autoSpaceDN w:val="0"/>
      <w:spacing w:after="0" w:line="240" w:lineRule="auto"/>
      <w:ind w:left="107"/>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8B3921"/>
    <w:rPr>
      <w:rFonts w:ascii="Times New Roman" w:eastAsia="Times New Roman" w:hAnsi="Times New Roman"/>
      <w:b/>
      <w:bCs/>
      <w:sz w:val="20"/>
      <w:szCs w:val="20"/>
      <w:lang w:val="en-US"/>
    </w:rPr>
  </w:style>
  <w:style w:type="table" w:customStyle="1" w:styleId="TableNormal">
    <w:name w:val="Table Normal"/>
    <w:uiPriority w:val="2"/>
    <w:semiHidden/>
    <w:unhideWhenUsed/>
    <w:qFormat/>
    <w:rsid w:val="008B392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8B3921"/>
    <w:pPr>
      <w:widowControl w:val="0"/>
      <w:spacing w:after="0" w:line="240" w:lineRule="auto"/>
    </w:pPr>
    <w:rPr>
      <w:rFonts w:ascii="Times New Roman" w:eastAsia="Times New Roman" w:hAnsi="Times New Roman"/>
      <w:sz w:val="20"/>
      <w:szCs w:val="20"/>
      <w:lang w:val="en-US"/>
    </w:rPr>
  </w:style>
  <w:style w:type="paragraph" w:styleId="ListeParagraf">
    <w:name w:val="List Paragraph"/>
    <w:basedOn w:val="Normal"/>
    <w:uiPriority w:val="1"/>
    <w:qFormat/>
    <w:rsid w:val="008B3921"/>
    <w:pPr>
      <w:widowControl w:val="0"/>
      <w:spacing w:after="0" w:line="240" w:lineRule="auto"/>
    </w:pPr>
    <w:rPr>
      <w:lang w:val="en-US"/>
    </w:rPr>
  </w:style>
  <w:style w:type="paragraph" w:customStyle="1" w:styleId="Default">
    <w:name w:val="Default"/>
    <w:rsid w:val="000A3307"/>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DD75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0219">
      <w:bodyDiv w:val="1"/>
      <w:marLeft w:val="0"/>
      <w:marRight w:val="0"/>
      <w:marTop w:val="0"/>
      <w:marBottom w:val="0"/>
      <w:divBdr>
        <w:top w:val="none" w:sz="0" w:space="0" w:color="auto"/>
        <w:left w:val="none" w:sz="0" w:space="0" w:color="auto"/>
        <w:bottom w:val="none" w:sz="0" w:space="0" w:color="auto"/>
        <w:right w:val="none" w:sz="0" w:space="0" w:color="auto"/>
      </w:divBdr>
      <w:divsChild>
        <w:div w:id="1830708031">
          <w:marLeft w:val="0"/>
          <w:marRight w:val="0"/>
          <w:marTop w:val="0"/>
          <w:marBottom w:val="0"/>
          <w:divBdr>
            <w:top w:val="none" w:sz="0" w:space="0" w:color="auto"/>
            <w:left w:val="none" w:sz="0" w:space="0" w:color="auto"/>
            <w:bottom w:val="none" w:sz="0" w:space="0" w:color="auto"/>
            <w:right w:val="none" w:sz="0" w:space="0" w:color="auto"/>
          </w:divBdr>
          <w:divsChild>
            <w:div w:id="2026636021">
              <w:marLeft w:val="0"/>
              <w:marRight w:val="0"/>
              <w:marTop w:val="0"/>
              <w:marBottom w:val="0"/>
              <w:divBdr>
                <w:top w:val="none" w:sz="0" w:space="0" w:color="auto"/>
                <w:left w:val="none" w:sz="0" w:space="0" w:color="auto"/>
                <w:bottom w:val="none" w:sz="0" w:space="0" w:color="auto"/>
                <w:right w:val="none" w:sz="0" w:space="0" w:color="auto"/>
              </w:divBdr>
              <w:divsChild>
                <w:div w:id="5849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2150">
      <w:bodyDiv w:val="1"/>
      <w:marLeft w:val="0"/>
      <w:marRight w:val="0"/>
      <w:marTop w:val="0"/>
      <w:marBottom w:val="0"/>
      <w:divBdr>
        <w:top w:val="none" w:sz="0" w:space="0" w:color="auto"/>
        <w:left w:val="none" w:sz="0" w:space="0" w:color="auto"/>
        <w:bottom w:val="none" w:sz="0" w:space="0" w:color="auto"/>
        <w:right w:val="none" w:sz="0" w:space="0" w:color="auto"/>
      </w:divBdr>
      <w:divsChild>
        <w:div w:id="1916817902">
          <w:marLeft w:val="0"/>
          <w:marRight w:val="0"/>
          <w:marTop w:val="0"/>
          <w:marBottom w:val="0"/>
          <w:divBdr>
            <w:top w:val="none" w:sz="0" w:space="0" w:color="auto"/>
            <w:left w:val="none" w:sz="0" w:space="0" w:color="auto"/>
            <w:bottom w:val="none" w:sz="0" w:space="0" w:color="auto"/>
            <w:right w:val="none" w:sz="0" w:space="0" w:color="auto"/>
          </w:divBdr>
          <w:divsChild>
            <w:div w:id="1430808036">
              <w:marLeft w:val="0"/>
              <w:marRight w:val="0"/>
              <w:marTop w:val="0"/>
              <w:marBottom w:val="0"/>
              <w:divBdr>
                <w:top w:val="none" w:sz="0" w:space="0" w:color="auto"/>
                <w:left w:val="none" w:sz="0" w:space="0" w:color="auto"/>
                <w:bottom w:val="none" w:sz="0" w:space="0" w:color="auto"/>
                <w:right w:val="none" w:sz="0" w:space="0" w:color="auto"/>
              </w:divBdr>
              <w:divsChild>
                <w:div w:id="40600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5871">
      <w:bodyDiv w:val="1"/>
      <w:marLeft w:val="0"/>
      <w:marRight w:val="0"/>
      <w:marTop w:val="0"/>
      <w:marBottom w:val="0"/>
      <w:divBdr>
        <w:top w:val="none" w:sz="0" w:space="0" w:color="auto"/>
        <w:left w:val="none" w:sz="0" w:space="0" w:color="auto"/>
        <w:bottom w:val="none" w:sz="0" w:space="0" w:color="auto"/>
        <w:right w:val="none" w:sz="0" w:space="0" w:color="auto"/>
      </w:divBdr>
      <w:divsChild>
        <w:div w:id="1969509357">
          <w:marLeft w:val="0"/>
          <w:marRight w:val="0"/>
          <w:marTop w:val="0"/>
          <w:marBottom w:val="0"/>
          <w:divBdr>
            <w:top w:val="none" w:sz="0" w:space="0" w:color="auto"/>
            <w:left w:val="none" w:sz="0" w:space="0" w:color="auto"/>
            <w:bottom w:val="none" w:sz="0" w:space="0" w:color="auto"/>
            <w:right w:val="none" w:sz="0" w:space="0" w:color="auto"/>
          </w:divBdr>
          <w:divsChild>
            <w:div w:id="1092313943">
              <w:marLeft w:val="0"/>
              <w:marRight w:val="0"/>
              <w:marTop w:val="0"/>
              <w:marBottom w:val="0"/>
              <w:divBdr>
                <w:top w:val="none" w:sz="0" w:space="0" w:color="auto"/>
                <w:left w:val="none" w:sz="0" w:space="0" w:color="auto"/>
                <w:bottom w:val="none" w:sz="0" w:space="0" w:color="auto"/>
                <w:right w:val="none" w:sz="0" w:space="0" w:color="auto"/>
              </w:divBdr>
              <w:divsChild>
                <w:div w:id="229929757">
                  <w:marLeft w:val="0"/>
                  <w:marRight w:val="0"/>
                  <w:marTop w:val="0"/>
                  <w:marBottom w:val="0"/>
                  <w:divBdr>
                    <w:top w:val="none" w:sz="0" w:space="0" w:color="auto"/>
                    <w:left w:val="none" w:sz="0" w:space="0" w:color="auto"/>
                    <w:bottom w:val="none" w:sz="0" w:space="0" w:color="auto"/>
                    <w:right w:val="none" w:sz="0" w:space="0" w:color="auto"/>
                  </w:divBdr>
                </w:div>
              </w:divsChild>
            </w:div>
            <w:div w:id="2042895027">
              <w:marLeft w:val="0"/>
              <w:marRight w:val="0"/>
              <w:marTop w:val="0"/>
              <w:marBottom w:val="0"/>
              <w:divBdr>
                <w:top w:val="none" w:sz="0" w:space="0" w:color="auto"/>
                <w:left w:val="none" w:sz="0" w:space="0" w:color="auto"/>
                <w:bottom w:val="none" w:sz="0" w:space="0" w:color="auto"/>
                <w:right w:val="none" w:sz="0" w:space="0" w:color="auto"/>
              </w:divBdr>
              <w:divsChild>
                <w:div w:id="551111848">
                  <w:marLeft w:val="0"/>
                  <w:marRight w:val="0"/>
                  <w:marTop w:val="0"/>
                  <w:marBottom w:val="0"/>
                  <w:divBdr>
                    <w:top w:val="none" w:sz="0" w:space="0" w:color="auto"/>
                    <w:left w:val="none" w:sz="0" w:space="0" w:color="auto"/>
                    <w:bottom w:val="none" w:sz="0" w:space="0" w:color="auto"/>
                    <w:right w:val="none" w:sz="0" w:space="0" w:color="auto"/>
                  </w:divBdr>
                </w:div>
              </w:divsChild>
            </w:div>
            <w:div w:id="1884444664">
              <w:marLeft w:val="0"/>
              <w:marRight w:val="0"/>
              <w:marTop w:val="0"/>
              <w:marBottom w:val="0"/>
              <w:divBdr>
                <w:top w:val="none" w:sz="0" w:space="0" w:color="auto"/>
                <w:left w:val="none" w:sz="0" w:space="0" w:color="auto"/>
                <w:bottom w:val="none" w:sz="0" w:space="0" w:color="auto"/>
                <w:right w:val="none" w:sz="0" w:space="0" w:color="auto"/>
              </w:divBdr>
              <w:divsChild>
                <w:div w:id="14723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661</Words>
  <Characters>3769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Gülsüm ÇONOĞLU</cp:lastModifiedBy>
  <cp:revision>4</cp:revision>
  <cp:lastPrinted>2018-07-20T11:01:00Z</cp:lastPrinted>
  <dcterms:created xsi:type="dcterms:W3CDTF">2024-03-07T14:16:00Z</dcterms:created>
  <dcterms:modified xsi:type="dcterms:W3CDTF">2024-03-07T15:05:00Z</dcterms:modified>
</cp:coreProperties>
</file>